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  <w:color w:val="1F4D79"/>
          <w:sz w:val="32"/>
          <w:szCs w:val="32"/>
        </w:rPr>
      </w:pPr>
      <w:r w:rsidRPr="00426574">
        <w:rPr>
          <w:rFonts w:ascii="Verdana" w:hAnsi="Verdana" w:cs="Arial"/>
          <w:i/>
          <w:iCs/>
          <w:color w:val="1F4D79"/>
          <w:sz w:val="32"/>
          <w:szCs w:val="32"/>
        </w:rPr>
        <w:t>CONVENTION DE CIRCULATION SUR VOIE PRIVEE</w:t>
      </w:r>
    </w:p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  <w:color w:val="1F4D79"/>
          <w:sz w:val="32"/>
          <w:szCs w:val="32"/>
        </w:rPr>
      </w:pPr>
      <w:r w:rsidRPr="00426574">
        <w:rPr>
          <w:rFonts w:ascii="Verdana" w:hAnsi="Verdana" w:cs="Arial"/>
          <w:i/>
          <w:iCs/>
          <w:color w:val="1F4D79"/>
          <w:sz w:val="32"/>
          <w:szCs w:val="32"/>
        </w:rPr>
        <w:t>POUR LA COLLECTE DES DECHETS MENAGERS ET</w:t>
      </w:r>
    </w:p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426574">
        <w:rPr>
          <w:rFonts w:ascii="Verdana" w:hAnsi="Verdana" w:cs="Arial"/>
          <w:i/>
          <w:iCs/>
          <w:color w:val="1F4D79"/>
          <w:sz w:val="32"/>
          <w:szCs w:val="32"/>
        </w:rPr>
        <w:t>ASSIMILES</w:t>
      </w:r>
    </w:p>
    <w:p w:rsidR="00426574" w:rsidRDefault="00426574" w:rsidP="00426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6574" w:rsidRPr="00545E6F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545E6F">
        <w:rPr>
          <w:rFonts w:ascii="Verdana" w:hAnsi="Verdana" w:cs="Arial"/>
          <w:b/>
          <w:bCs/>
        </w:rPr>
        <w:t>ENTRE :</w:t>
      </w:r>
    </w:p>
    <w:p w:rsidR="00545E6F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  <w:b/>
          <w:bCs/>
        </w:rPr>
        <w:t xml:space="preserve">La Communauté </w:t>
      </w:r>
      <w:r w:rsidRPr="00426574">
        <w:rPr>
          <w:rFonts w:ascii="Verdana" w:hAnsi="Verdana" w:cs="Arial"/>
          <w:b/>
          <w:bCs/>
        </w:rPr>
        <w:t>d’agglomération de l’Albigeois</w:t>
      </w:r>
      <w:r w:rsidRPr="00426574">
        <w:rPr>
          <w:rFonts w:ascii="Verdana" w:hAnsi="Verdana" w:cs="Arial"/>
        </w:rPr>
        <w:t xml:space="preserve">, désignée ci-après « </w:t>
      </w:r>
      <w:r w:rsidRPr="00426574">
        <w:rPr>
          <w:rFonts w:ascii="Verdana" w:hAnsi="Verdana" w:cs="Arial"/>
        </w:rPr>
        <w:t>CA Albigeois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 xml:space="preserve">», dont le siège se situe </w:t>
      </w:r>
      <w:r w:rsidRPr="00426574">
        <w:rPr>
          <w:rFonts w:ascii="Verdana" w:hAnsi="Verdana" w:cs="Arial"/>
        </w:rPr>
        <w:t>Parc François Mitterrand 81160 SAINT-</w:t>
      </w:r>
      <w:proofErr w:type="gramStart"/>
      <w:r w:rsidRPr="00426574">
        <w:rPr>
          <w:rFonts w:ascii="Verdana" w:hAnsi="Verdana" w:cs="Arial"/>
        </w:rPr>
        <w:t xml:space="preserve">JUERY </w:t>
      </w:r>
      <w:r w:rsidRPr="00426574">
        <w:rPr>
          <w:rFonts w:ascii="Verdana" w:hAnsi="Verdana" w:cs="Arial"/>
        </w:rPr>
        <w:t>,</w:t>
      </w:r>
      <w:proofErr w:type="gramEnd"/>
      <w:r w:rsidRPr="00426574">
        <w:rPr>
          <w:rFonts w:ascii="Verdana" w:hAnsi="Verdana" w:cs="Arial"/>
        </w:rPr>
        <w:t xml:space="preserve"> représentée par s</w:t>
      </w:r>
      <w:r w:rsidRPr="00426574">
        <w:rPr>
          <w:rFonts w:ascii="Verdana" w:hAnsi="Verdana" w:cs="Arial"/>
        </w:rPr>
        <w:t>a présidente Stéphanie GUIRAUD-CHAUMEI</w:t>
      </w:r>
      <w:r w:rsidR="00AA105D">
        <w:rPr>
          <w:rFonts w:ascii="Verdana" w:hAnsi="Verdana" w:cs="Arial"/>
        </w:rPr>
        <w:t>L</w:t>
      </w:r>
      <w:r w:rsidRPr="00426574">
        <w:rPr>
          <w:rFonts w:ascii="Verdana" w:hAnsi="Verdana" w:cs="Arial"/>
        </w:rPr>
        <w:t>, autorisé</w:t>
      </w:r>
      <w:r w:rsidR="00AA105D">
        <w:rPr>
          <w:rFonts w:ascii="Verdana" w:hAnsi="Verdana" w:cs="Arial"/>
        </w:rPr>
        <w:t>e</w:t>
      </w:r>
      <w:r w:rsidRPr="00426574">
        <w:rPr>
          <w:rFonts w:ascii="Verdana" w:hAnsi="Verdana" w:cs="Arial"/>
        </w:rPr>
        <w:t xml:space="preserve"> à signer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426574">
        <w:rPr>
          <w:rFonts w:ascii="Verdana" w:hAnsi="Verdana" w:cs="Arial"/>
        </w:rPr>
        <w:t>la</w:t>
      </w:r>
      <w:proofErr w:type="gramEnd"/>
      <w:r w:rsidRPr="00426574">
        <w:rPr>
          <w:rFonts w:ascii="Verdana" w:hAnsi="Verdana" w:cs="Arial"/>
        </w:rPr>
        <w:t xml:space="preserve"> présente convention par délibération n°</w:t>
      </w:r>
      <w:r w:rsidR="00AA105D" w:rsidRPr="00AA105D">
        <w:rPr>
          <w:rFonts w:ascii="Verdana" w:hAnsi="Verdana" w:cs="Arial"/>
        </w:rPr>
        <w:t>DEL2019_211</w:t>
      </w:r>
      <w:r w:rsidRPr="00426574">
        <w:rPr>
          <w:rFonts w:ascii="Verdana" w:hAnsi="Verdana" w:cs="Arial"/>
        </w:rPr>
        <w:t xml:space="preserve"> en date du </w:t>
      </w:r>
      <w:r w:rsidR="00AA105D">
        <w:rPr>
          <w:rFonts w:ascii="Verdana" w:hAnsi="Verdana" w:cs="Arial"/>
        </w:rPr>
        <w:t>17 décembre 2019</w:t>
      </w:r>
      <w:r w:rsidRPr="00426574">
        <w:rPr>
          <w:rFonts w:ascii="Verdana" w:hAnsi="Verdana" w:cs="Arial"/>
        </w:rPr>
        <w:t>.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545E6F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545E6F">
        <w:rPr>
          <w:rFonts w:ascii="Verdana" w:hAnsi="Verdana" w:cs="Arial"/>
          <w:b/>
          <w:bCs/>
        </w:rPr>
        <w:t>ET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,Bold"/>
          <w:b/>
          <w:bCs/>
        </w:rPr>
      </w:pPr>
    </w:p>
    <w:p w:rsidR="00545E6F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Helvetica,Bold"/>
          <w:b/>
          <w:bCs/>
        </w:rPr>
        <w:t xml:space="preserve">L’établissement / la société (raison sociale) </w:t>
      </w:r>
      <w:r w:rsidRPr="00426574">
        <w:rPr>
          <w:rFonts w:ascii="Verdana" w:hAnsi="Verdana" w:cs="Arial"/>
        </w:rPr>
        <w:t xml:space="preserve">: 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............................................................................</w:t>
      </w:r>
    </w:p>
    <w:p w:rsidR="00545E6F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Dont le siège social se situe :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...........................................................................................................</w:t>
      </w:r>
    </w:p>
    <w:p w:rsidR="00545E6F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Représenté(e) par : ......................................... Fonction : 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..............................................................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Dûment habilité(e)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545E6F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545E6F" w:rsidRPr="00426574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AA105D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AA105D">
        <w:rPr>
          <w:rFonts w:ascii="Verdana" w:hAnsi="Verdana" w:cs="Arial"/>
          <w:b/>
          <w:bCs/>
          <w:sz w:val="24"/>
          <w:szCs w:val="24"/>
        </w:rPr>
        <w:t>Préalable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Dans le cadre de sa compétence « collecte des déchets ménagers et assimilés », la Communauté</w:t>
      </w:r>
      <w:r w:rsidR="00AA105D">
        <w:rPr>
          <w:rFonts w:ascii="Verdana" w:hAnsi="Verdana" w:cs="Arial"/>
        </w:rPr>
        <w:t xml:space="preserve"> d’agglomération de l’Albigeois</w:t>
      </w:r>
      <w:r w:rsidRPr="00426574">
        <w:rPr>
          <w:rFonts w:ascii="Verdana" w:hAnsi="Verdana" w:cs="Arial"/>
        </w:rPr>
        <w:t xml:space="preserve"> assure la collecte des déchets sur le domaine public.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Au vu de la demande du propriétaire privé, la présente convention organise sous conditions et sous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la responsabilité du propriétaire privé et avec son autorisation, la collecte des déchets ménagers et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assimilés sur voie privée.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545E6F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545E6F" w:rsidRPr="00426574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426574">
        <w:rPr>
          <w:rFonts w:ascii="Verdana" w:hAnsi="Verdana" w:cs="Arial"/>
          <w:b/>
          <w:bCs/>
          <w:sz w:val="24"/>
          <w:szCs w:val="24"/>
        </w:rPr>
        <w:t>IL A ETE CONVENU, ARRETE ET ACCEPTE CE QUI SUIT :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545E6F" w:rsidRDefault="00545E6F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1 </w:t>
      </w:r>
      <w:r w:rsidRPr="00426574">
        <w:rPr>
          <w:rFonts w:ascii="Verdana" w:hAnsi="Verdana" w:cs="Helvetica,Bold"/>
          <w:b/>
          <w:bCs/>
        </w:rPr>
        <w:t xml:space="preserve">– </w:t>
      </w:r>
      <w:r w:rsidRPr="00426574">
        <w:rPr>
          <w:rFonts w:ascii="Verdana" w:hAnsi="Verdana" w:cs="Arial"/>
          <w:b/>
          <w:bCs/>
        </w:rPr>
        <w:t>Objet de la convention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présente convention détermine les modalités d</w:t>
      </w:r>
      <w:r w:rsidRPr="00426574">
        <w:rPr>
          <w:rFonts w:ascii="Verdana" w:hAnsi="Verdana" w:cs="Helvetica"/>
        </w:rPr>
        <w:t xml:space="preserve">’accès </w:t>
      </w:r>
      <w:r w:rsidRPr="00426574">
        <w:rPr>
          <w:rFonts w:ascii="Verdana" w:hAnsi="Verdana" w:cs="Arial"/>
        </w:rPr>
        <w:t>et de collecte de la Communauté d</w:t>
      </w:r>
      <w:r w:rsidR="00AA105D">
        <w:rPr>
          <w:rFonts w:ascii="Verdana" w:hAnsi="Verdana" w:cs="Arial"/>
        </w:rPr>
        <w:t>’agglomération de l’Albigeois</w:t>
      </w:r>
      <w:r w:rsidRPr="00426574">
        <w:rPr>
          <w:rFonts w:ascii="Verdana" w:hAnsi="Verdana" w:cs="Helvetica"/>
        </w:rPr>
        <w:t xml:space="preserve"> quant à l’enlèvement des ordures ménagères et assimilées sur les voies, propriétés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privées.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présente convention a pour objet de définir les responsabilités, les devoirs et les obligations de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la Communauté</w:t>
      </w:r>
      <w:r w:rsidR="00AA105D">
        <w:rPr>
          <w:rFonts w:ascii="Verdana" w:hAnsi="Verdana" w:cs="Arial"/>
        </w:rPr>
        <w:t xml:space="preserve"> d’agglomération de l’Albigeois</w:t>
      </w:r>
      <w:r w:rsidRPr="00426574">
        <w:rPr>
          <w:rFonts w:ascii="Verdana" w:hAnsi="Verdana" w:cs="Arial"/>
        </w:rPr>
        <w:t xml:space="preserve"> et du propriétaire des voies.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2 </w:t>
      </w:r>
      <w:r w:rsidRPr="00426574">
        <w:rPr>
          <w:rFonts w:ascii="Verdana" w:hAnsi="Verdana" w:cs="Helvetica,Bold"/>
          <w:b/>
          <w:bCs/>
        </w:rPr>
        <w:t xml:space="preserve">– </w:t>
      </w:r>
      <w:r w:rsidRPr="00426574">
        <w:rPr>
          <w:rFonts w:ascii="Verdana" w:hAnsi="Verdana" w:cs="Arial"/>
          <w:b/>
          <w:bCs/>
        </w:rPr>
        <w:t>Destination</w:t>
      </w:r>
    </w:p>
    <w:p w:rsidR="00AA105D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présente convention ne vaut que pour la collecte des déchets telle que décrite dans la présente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convention.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  <w:r w:rsidRPr="00426574">
        <w:rPr>
          <w:rFonts w:ascii="Verdana" w:hAnsi="Verdana" w:cs="Helvetica"/>
        </w:rPr>
        <w:t>Aucune modification n’est possible sauf accord express.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3 </w:t>
      </w:r>
      <w:r w:rsidRPr="00426574">
        <w:rPr>
          <w:rFonts w:ascii="Verdana" w:hAnsi="Verdana" w:cs="Helvetica,Bold"/>
          <w:b/>
          <w:bCs/>
        </w:rPr>
        <w:t xml:space="preserve">– </w:t>
      </w:r>
      <w:r w:rsidRPr="00426574">
        <w:rPr>
          <w:rFonts w:ascii="Verdana" w:hAnsi="Verdana" w:cs="Arial"/>
          <w:b/>
          <w:bCs/>
        </w:rPr>
        <w:t>Durée de la convention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convention est établie pour une durée initiale de trois ans à compter de la date de signature. Elle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 xml:space="preserve">sera reconduite tacitement </w:t>
      </w:r>
      <w:r w:rsidRPr="00426574">
        <w:rPr>
          <w:rFonts w:ascii="Verdana" w:hAnsi="Verdana" w:cs="Helvetica"/>
        </w:rPr>
        <w:t>pour la même durée, sauf dénonciation par l’une ou l’autre des parties,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Helvetica"/>
        </w:rPr>
        <w:t xml:space="preserve">faite par lettre recommandée avec AR, un mois au moins avant la date d’anniversaire, sauf </w:t>
      </w:r>
      <w:r w:rsidRPr="00426574">
        <w:rPr>
          <w:rFonts w:ascii="Verdana" w:hAnsi="Verdana" w:cs="Arial"/>
        </w:rPr>
        <w:t>résiliation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Helvetica"/>
        </w:rPr>
        <w:t xml:space="preserve">prévue à l’article 5 </w:t>
      </w:r>
      <w:r w:rsidRPr="00426574">
        <w:rPr>
          <w:rFonts w:ascii="Verdana" w:hAnsi="Verdana" w:cs="Arial"/>
        </w:rPr>
        <w:t>ci-dessous.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4 </w:t>
      </w:r>
      <w:r w:rsidRPr="00426574">
        <w:rPr>
          <w:rFonts w:ascii="Verdana" w:hAnsi="Verdana" w:cs="Helvetica,Bold"/>
          <w:b/>
          <w:bCs/>
        </w:rPr>
        <w:t>– Conditions d’</w:t>
      </w:r>
      <w:r w:rsidRPr="00426574">
        <w:rPr>
          <w:rFonts w:ascii="Verdana" w:hAnsi="Verdana" w:cs="Arial"/>
          <w:b/>
          <w:bCs/>
        </w:rPr>
        <w:t>accès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  <w:r w:rsidRPr="00426574">
        <w:rPr>
          <w:rFonts w:ascii="Verdana" w:hAnsi="Verdana" w:cs="Helvetica"/>
        </w:rPr>
        <w:t>4.1. Modalités d’accès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</w:t>
      </w:r>
      <w:r w:rsidRPr="00426574">
        <w:rPr>
          <w:rFonts w:ascii="Verdana" w:hAnsi="Verdana" w:cs="Helvetica"/>
        </w:rPr>
        <w:t xml:space="preserve">a voie dans ses caractéristiques, état d’entretien et stationnement, doit être </w:t>
      </w:r>
      <w:r w:rsidR="00AA105D">
        <w:rPr>
          <w:rFonts w:ascii="Verdana" w:hAnsi="Verdana" w:cs="Helvetica"/>
        </w:rPr>
        <w:t>c</w:t>
      </w:r>
      <w:r w:rsidRPr="00426574">
        <w:rPr>
          <w:rFonts w:ascii="Verdana" w:hAnsi="Verdana" w:cs="Helvetica"/>
        </w:rPr>
        <w:t>ompatible avec la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circulation et la collecte des ordures ménagères et assimilés.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Localisation de la voie (numéro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cadastral et adresse)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Etat général de la voie privée </w:t>
      </w:r>
      <w:r w:rsidRPr="00426574">
        <w:rPr>
          <w:rFonts w:ascii="Verdana" w:eastAsia="Wingdings-Regular" w:hAnsi="Verdana" w:cs="Wingdings-Regular"/>
        </w:rPr>
        <w:t xml:space="preserve"> </w:t>
      </w:r>
      <w:r w:rsidRPr="00426574">
        <w:rPr>
          <w:rFonts w:ascii="Verdana" w:hAnsi="Verdana" w:cs="Helvetica"/>
        </w:rPr>
        <w:t xml:space="preserve">Etat d’usage </w:t>
      </w:r>
      <w:r w:rsidRPr="00426574">
        <w:rPr>
          <w:rFonts w:ascii="Verdana" w:eastAsia="Wingdings-Regular" w:hAnsi="Verdana" w:cs="Wingdings-Regular"/>
        </w:rPr>
        <w:t xml:space="preserve"> </w:t>
      </w:r>
      <w:r w:rsidRPr="00426574">
        <w:rPr>
          <w:rFonts w:ascii="Verdana" w:hAnsi="Verdana" w:cs="Arial"/>
        </w:rPr>
        <w:t>Etat dégradé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Longueur </w:t>
      </w:r>
      <w:r w:rsidRPr="00426574">
        <w:rPr>
          <w:rFonts w:ascii="Verdana" w:hAnsi="Verdana" w:cs="Helvetica"/>
        </w:rPr>
        <w:t xml:space="preserve">……… </w:t>
      </w:r>
      <w:r w:rsidRPr="00426574">
        <w:rPr>
          <w:rFonts w:ascii="Verdana" w:hAnsi="Verdana" w:cs="Arial"/>
        </w:rPr>
        <w:t>m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Largeur </w:t>
      </w:r>
      <w:r w:rsidRPr="00426574">
        <w:rPr>
          <w:rFonts w:ascii="Verdana" w:hAnsi="Verdana" w:cs="Helvetica"/>
        </w:rPr>
        <w:t xml:space="preserve">……… </w:t>
      </w:r>
      <w:r w:rsidRPr="00426574">
        <w:rPr>
          <w:rFonts w:ascii="Verdana" w:hAnsi="Verdana" w:cs="Arial"/>
        </w:rPr>
        <w:t>m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Type de revêtement Enrobé obligatoirement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Ainsi la voie doit pouvoir supporter une charge de 26T, avoir une largeur minimum de 3 m et doit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Helvetica"/>
        </w:rPr>
        <w:t xml:space="preserve">faire l’objet d’un entretien régulier </w:t>
      </w:r>
      <w:r w:rsidRPr="00426574">
        <w:rPr>
          <w:rFonts w:ascii="Verdana" w:hAnsi="Verdana" w:cs="Arial"/>
        </w:rPr>
        <w:t>par le propriétaire.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Le propriétaire </w:t>
      </w:r>
      <w:r w:rsidRPr="00426574">
        <w:rPr>
          <w:rFonts w:ascii="Verdana" w:hAnsi="Verdana" w:cs="Helvetica"/>
        </w:rPr>
        <w:t>s’engage et autorise à laisser libre d’accès la voie afin que les bennes à ordures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puissent circuler dans les conditions définies ci-après.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  <w:r w:rsidRPr="00426574">
        <w:rPr>
          <w:rFonts w:ascii="Verdana" w:hAnsi="Verdana" w:cs="Helvetica"/>
        </w:rPr>
        <w:t xml:space="preserve">En cas de </w:t>
      </w:r>
      <w:r w:rsidR="00AA105D" w:rsidRPr="00426574">
        <w:rPr>
          <w:rFonts w:ascii="Verdana" w:hAnsi="Verdana" w:cs="Helvetica"/>
        </w:rPr>
        <w:t>non-respect</w:t>
      </w:r>
      <w:r w:rsidRPr="00426574">
        <w:rPr>
          <w:rFonts w:ascii="Verdana" w:hAnsi="Verdana" w:cs="Helvetica"/>
        </w:rPr>
        <w:t xml:space="preserve"> de ces obligations, la présente convention ne s’applique pas. Dans ce cas,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 xml:space="preserve">la collectivité ne saurait être tenue </w:t>
      </w:r>
      <w:r w:rsidRPr="00426574">
        <w:rPr>
          <w:rFonts w:ascii="Verdana" w:hAnsi="Verdana" w:cs="Helvetica"/>
        </w:rPr>
        <w:t>pour responsable de l’absence de collecte.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Le propriétaire déclare dégager en totalité la responsabilité de la Communauté </w:t>
      </w:r>
      <w:r w:rsidR="00AA105D">
        <w:rPr>
          <w:rFonts w:ascii="Verdana" w:hAnsi="Verdana" w:cs="Arial"/>
        </w:rPr>
        <w:t>d’agglomération de l’Albigeois</w:t>
      </w:r>
      <w:r w:rsidRPr="00426574">
        <w:rPr>
          <w:rFonts w:ascii="Verdana" w:hAnsi="Verdana" w:cs="Arial"/>
        </w:rPr>
        <w:t>, de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ses employés et de se</w:t>
      </w:r>
      <w:r w:rsidRPr="00426574">
        <w:rPr>
          <w:rFonts w:ascii="Verdana" w:hAnsi="Verdana" w:cs="Helvetica"/>
        </w:rPr>
        <w:t>s prestataires dans le cadre de leur mission, pour d’éventuelles dégradations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liées à la voirie ou au sous-</w:t>
      </w:r>
      <w:r w:rsidRPr="00426574">
        <w:rPr>
          <w:rFonts w:ascii="Verdana" w:hAnsi="Verdana" w:cs="Helvetica"/>
        </w:rPr>
        <w:t xml:space="preserve">sol (réseaux…), étant entendu que </w:t>
      </w:r>
      <w:r w:rsidR="00AA105D" w:rsidRPr="00426574">
        <w:rPr>
          <w:rFonts w:ascii="Verdana" w:hAnsi="Verdana" w:cs="Helvetica"/>
        </w:rPr>
        <w:t>les véhicules circulants</w:t>
      </w:r>
      <w:r w:rsidRPr="00426574">
        <w:rPr>
          <w:rFonts w:ascii="Verdana" w:hAnsi="Verdana" w:cs="Helvetica"/>
        </w:rPr>
        <w:t xml:space="preserve"> pourront </w:t>
      </w:r>
      <w:r w:rsidRPr="00426574">
        <w:rPr>
          <w:rFonts w:ascii="Verdana" w:hAnsi="Verdana" w:cs="Arial"/>
        </w:rPr>
        <w:t>avoir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426574">
        <w:rPr>
          <w:rFonts w:ascii="Verdana" w:hAnsi="Verdana" w:cs="Arial"/>
        </w:rPr>
        <w:t>un</w:t>
      </w:r>
      <w:proofErr w:type="gramEnd"/>
      <w:r w:rsidRPr="00426574">
        <w:rPr>
          <w:rFonts w:ascii="Verdana" w:hAnsi="Verdana" w:cs="Arial"/>
        </w:rPr>
        <w:t xml:space="preserve"> poids total en charge maximal de 26 tonnes.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4.2. Collecte des ordures ménagères et assimilés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Helvetica"/>
        </w:rPr>
        <w:t xml:space="preserve">La benne à ordures ménagères devra pouvoir circuler et </w:t>
      </w:r>
      <w:r w:rsidR="00AA105D" w:rsidRPr="00426574">
        <w:rPr>
          <w:rFonts w:ascii="Verdana" w:hAnsi="Verdana" w:cs="Helvetica"/>
        </w:rPr>
        <w:t>manœuvrer</w:t>
      </w:r>
      <w:r w:rsidRPr="00426574">
        <w:rPr>
          <w:rFonts w:ascii="Verdana" w:hAnsi="Verdana" w:cs="Helvetica"/>
        </w:rPr>
        <w:t xml:space="preserve"> en toute sécurité conformément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aux dispositions du code de la route.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collectivité ne saurait être tenue responsable de la non-</w:t>
      </w:r>
      <w:r w:rsidRPr="00426574">
        <w:rPr>
          <w:rFonts w:ascii="Verdana" w:hAnsi="Verdana" w:cs="Helvetica"/>
        </w:rPr>
        <w:t>collecte en cas d’obstacle de toute nature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sur la voie privée entravant le passage sur la voie privée dans des conditions de circulation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sécurisées.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La collecte des déchets se fera en porte à porte en bacs </w:t>
      </w:r>
      <w:r w:rsidR="00AA105D">
        <w:rPr>
          <w:rFonts w:ascii="Verdana" w:hAnsi="Verdana" w:cs="Arial"/>
        </w:rPr>
        <w:t>roulants</w:t>
      </w:r>
      <w:r w:rsidRPr="00426574">
        <w:rPr>
          <w:rFonts w:ascii="Verdana" w:hAnsi="Verdana" w:cs="Arial"/>
        </w:rPr>
        <w:t>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>ARTICLE 5 - Résiliation de la convention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Helvetica"/>
        </w:rPr>
        <w:t xml:space="preserve">La présente convention est résiliable de plein droit, avant sa date normale d’échéance </w:t>
      </w:r>
      <w:r w:rsidRPr="00426574">
        <w:rPr>
          <w:rFonts w:ascii="Verdana" w:hAnsi="Verdana" w:cs="Arial"/>
        </w:rPr>
        <w:t>: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- </w:t>
      </w:r>
      <w:r w:rsidRPr="00426574">
        <w:rPr>
          <w:rFonts w:ascii="Verdana" w:hAnsi="Verdana" w:cs="Helvetica"/>
        </w:rPr>
        <w:t>par l’une ou l’autre des parties</w:t>
      </w:r>
      <w:r w:rsidRPr="00426574">
        <w:rPr>
          <w:rFonts w:ascii="Verdana" w:hAnsi="Verdana" w:cs="Arial"/>
        </w:rPr>
        <w:t xml:space="preserve">, pour </w:t>
      </w:r>
      <w:r w:rsidR="00AA105D" w:rsidRPr="00426574">
        <w:rPr>
          <w:rFonts w:ascii="Verdana" w:hAnsi="Verdana" w:cs="Arial"/>
        </w:rPr>
        <w:t>non-respect</w:t>
      </w:r>
      <w:r w:rsidRPr="00426574">
        <w:rPr>
          <w:rFonts w:ascii="Verdana" w:hAnsi="Verdana" w:cs="Arial"/>
        </w:rPr>
        <w:t xml:space="preserve"> des engagements figurant aux termes des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présentes, après mise en demeure adressée par lettre recommandée avec accusé réception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restée sans effet un mois après sa réception,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 xml:space="preserve">- par la Communauté </w:t>
      </w:r>
      <w:r w:rsidR="00AA105D">
        <w:rPr>
          <w:rFonts w:ascii="Verdana" w:hAnsi="Verdana" w:cs="Arial"/>
        </w:rPr>
        <w:t>d’agglomération de l’Albigeois</w:t>
      </w:r>
      <w:r w:rsidRPr="00426574">
        <w:rPr>
          <w:rFonts w:ascii="Verdana" w:hAnsi="Verdana" w:cs="Helvetica"/>
        </w:rPr>
        <w:t>, à tout moment, pour tout motif d’intérêt général, sous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Helvetica"/>
        </w:rPr>
        <w:t>réserve d’en aviser l’autre parti</w:t>
      </w:r>
      <w:r w:rsidRPr="00426574">
        <w:rPr>
          <w:rFonts w:ascii="Verdana" w:hAnsi="Verdana" w:cs="Arial"/>
        </w:rPr>
        <w:t>e et de respecter un délai de 15 jours par lettre recommandée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avec accusé de réception,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lastRenderedPageBreak/>
        <w:t xml:space="preserve">- </w:t>
      </w:r>
      <w:r w:rsidRPr="00426574">
        <w:rPr>
          <w:rFonts w:ascii="Verdana" w:hAnsi="Verdana" w:cs="Helvetica"/>
        </w:rPr>
        <w:t>par le propriétaire, sous réserve d’en aviser l’autre partie et de respecter un délai d’un mois</w:t>
      </w:r>
      <w:r w:rsidR="00AA105D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par lettre recommandée avec accusé de réception.</w:t>
      </w:r>
    </w:p>
    <w:p w:rsidR="00AA105D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,Bold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6 </w:t>
      </w:r>
      <w:r w:rsidRPr="00426574">
        <w:rPr>
          <w:rFonts w:ascii="Verdana" w:hAnsi="Verdana" w:cs="Helvetica,Bold"/>
          <w:b/>
          <w:bCs/>
        </w:rPr>
        <w:t>– Obligation d’information en cas de changement de propriétaire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Tout changement de propriétaire de la voie devra être porté à la connaissance de la collectivité par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lettre recommandée avec accusé de réception dans un délai de 30 jours.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En cas de changement substantiel, la collectivité se réserve le droit de résilier la présente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convention.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  <w:r w:rsidRPr="00426574">
        <w:rPr>
          <w:rFonts w:ascii="Verdana" w:hAnsi="Verdana" w:cs="Helvetica"/>
        </w:rPr>
        <w:t>De même, le défaut d’information entraîne la résiliation de la présente.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ARTICLE 7 </w:t>
      </w:r>
      <w:r w:rsidRPr="00426574">
        <w:rPr>
          <w:rFonts w:ascii="Verdana" w:hAnsi="Verdana" w:cs="Helvetica,Bold"/>
          <w:b/>
          <w:bCs/>
        </w:rPr>
        <w:t xml:space="preserve">– </w:t>
      </w:r>
      <w:r w:rsidRPr="00426574">
        <w:rPr>
          <w:rFonts w:ascii="Verdana" w:hAnsi="Verdana" w:cs="Arial"/>
          <w:b/>
          <w:bCs/>
        </w:rPr>
        <w:t xml:space="preserve">Responsabilités </w:t>
      </w:r>
      <w:r w:rsidRPr="00426574">
        <w:rPr>
          <w:rFonts w:ascii="Verdana" w:hAnsi="Verdana" w:cs="Helvetica,Bold"/>
          <w:b/>
          <w:bCs/>
        </w:rPr>
        <w:t xml:space="preserve">– </w:t>
      </w:r>
      <w:r w:rsidRPr="00426574">
        <w:rPr>
          <w:rFonts w:ascii="Verdana" w:hAnsi="Verdana" w:cs="Arial"/>
          <w:b/>
          <w:bCs/>
        </w:rPr>
        <w:t>Assurances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La surveillance de la voie est assurée par le propriétaire. Celui-ci avisera la collectivité en cas de</w:t>
      </w:r>
      <w:r w:rsidR="00AA105D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dégradations ou de dommages causés sur la voie privée.</w:t>
      </w:r>
    </w:p>
    <w:p w:rsid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Arial"/>
        </w:rPr>
        <w:t>En cas de non collecte en raison de manquement du propriétaire, la collectivité ne sera pas tenue</w:t>
      </w:r>
      <w:r w:rsidR="00545E6F">
        <w:rPr>
          <w:rFonts w:ascii="Verdana" w:hAnsi="Verdana" w:cs="Arial"/>
        </w:rPr>
        <w:t xml:space="preserve"> </w:t>
      </w:r>
      <w:r w:rsidRPr="00426574">
        <w:rPr>
          <w:rFonts w:ascii="Verdana" w:hAnsi="Verdana" w:cs="Arial"/>
        </w:rPr>
        <w:t>pour responsable.</w:t>
      </w:r>
    </w:p>
    <w:p w:rsidR="00AA105D" w:rsidRPr="00426574" w:rsidRDefault="00AA105D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>ARTICLE 8 - Contentieux</w:t>
      </w: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426574">
        <w:rPr>
          <w:rFonts w:ascii="Verdana" w:hAnsi="Verdana" w:cs="Helvetica"/>
        </w:rPr>
        <w:t>Tous recours formés à l’encontre de l’exécution des présentes relèvent de la compétence du</w:t>
      </w:r>
      <w:r w:rsidR="00545E6F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>Tribunal Administratif de Toulouse.</w:t>
      </w: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</w:rPr>
      </w:pPr>
      <w:r w:rsidRPr="00426574">
        <w:rPr>
          <w:rFonts w:ascii="Verdana" w:hAnsi="Verdana" w:cs="Arial"/>
        </w:rPr>
        <w:t>Fait en un exemplaire original, à</w:t>
      </w:r>
      <w:r w:rsidR="00545E6F">
        <w:rPr>
          <w:rFonts w:ascii="Verdana" w:hAnsi="Verdana" w:cs="Arial"/>
        </w:rPr>
        <w:t xml:space="preserve"> Albi</w:t>
      </w:r>
      <w:r w:rsidRPr="00426574">
        <w:rPr>
          <w:rFonts w:ascii="Verdana" w:hAnsi="Verdana" w:cs="Arial"/>
        </w:rPr>
        <w:t xml:space="preserve">, </w:t>
      </w:r>
      <w:proofErr w:type="gramStart"/>
      <w:r w:rsidRPr="00426574">
        <w:rPr>
          <w:rFonts w:ascii="Verdana" w:hAnsi="Verdana" w:cs="Arial"/>
        </w:rPr>
        <w:t xml:space="preserve">le </w:t>
      </w:r>
      <w:r w:rsidR="00545E6F">
        <w:rPr>
          <w:rFonts w:ascii="Verdana" w:hAnsi="Verdana" w:cs="Arial"/>
        </w:rPr>
        <w:t xml:space="preserve"> </w:t>
      </w:r>
      <w:r w:rsidRPr="00426574">
        <w:rPr>
          <w:rFonts w:ascii="Verdana" w:hAnsi="Verdana" w:cs="Helvetica"/>
        </w:rPr>
        <w:t>…</w:t>
      </w:r>
      <w:proofErr w:type="gramEnd"/>
      <w:r w:rsidRPr="00426574">
        <w:rPr>
          <w:rFonts w:ascii="Verdana" w:hAnsi="Verdana" w:cs="Helvetica"/>
        </w:rPr>
        <w:t xml:space="preserve"> </w:t>
      </w:r>
      <w:r w:rsidRPr="00426574">
        <w:rPr>
          <w:rFonts w:ascii="Verdana" w:hAnsi="Verdana" w:cs="Arial"/>
        </w:rPr>
        <w:t xml:space="preserve">/ </w:t>
      </w:r>
      <w:r w:rsidRPr="00426574">
        <w:rPr>
          <w:rFonts w:ascii="Verdana" w:hAnsi="Verdana" w:cs="Helvetica"/>
        </w:rPr>
        <w:t xml:space="preserve">… </w:t>
      </w:r>
      <w:r w:rsidRPr="00426574">
        <w:rPr>
          <w:rFonts w:ascii="Verdana" w:hAnsi="Verdana" w:cs="Arial"/>
        </w:rPr>
        <w:t>/ 20</w:t>
      </w:r>
      <w:r w:rsidR="00545E6F">
        <w:rPr>
          <w:rFonts w:ascii="Verdana" w:hAnsi="Verdana" w:cs="Helvetica"/>
        </w:rPr>
        <w:t>20</w:t>
      </w: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>Pour le Propriétaire,</w:t>
      </w:r>
    </w:p>
    <w:p w:rsidR="00426574" w:rsidRPr="00545E6F" w:rsidRDefault="00426574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545E6F">
        <w:rPr>
          <w:rFonts w:ascii="Verdana" w:hAnsi="Verdana" w:cs="Helvetica,Bold"/>
        </w:rPr>
        <w:t>…………</w:t>
      </w:r>
      <w:bookmarkStart w:id="0" w:name="_GoBack"/>
      <w:bookmarkEnd w:id="0"/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426574" w:rsidRPr="00426574" w:rsidRDefault="00426574" w:rsidP="00545E6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  <w:r w:rsidRPr="00426574">
        <w:rPr>
          <w:rFonts w:ascii="Verdana" w:hAnsi="Verdana" w:cs="Arial"/>
          <w:b/>
          <w:bCs/>
        </w:rPr>
        <w:t xml:space="preserve">Pour la Communauté </w:t>
      </w:r>
      <w:r w:rsidR="00545E6F">
        <w:rPr>
          <w:rFonts w:ascii="Verdana" w:hAnsi="Verdana" w:cs="Arial"/>
          <w:b/>
          <w:bCs/>
        </w:rPr>
        <w:t>d’agglomération de l’Albigeois</w:t>
      </w: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426574" w:rsidRP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545E6F">
        <w:rPr>
          <w:rFonts w:ascii="Verdana" w:hAnsi="Verdana" w:cs="Arial"/>
        </w:rPr>
        <w:t>Le vice-président délégué à la collecte et au traitement des ordures ménagères</w:t>
      </w:r>
      <w:r w:rsidR="00426574" w:rsidRPr="00545E6F">
        <w:rPr>
          <w:rFonts w:ascii="Verdana" w:hAnsi="Verdana" w:cs="Arial"/>
        </w:rPr>
        <w:t>,</w:t>
      </w:r>
    </w:p>
    <w:p w:rsidR="00426574" w:rsidRP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545E6F">
        <w:rPr>
          <w:rFonts w:ascii="Verdana" w:hAnsi="Verdana" w:cs="Arial"/>
        </w:rPr>
        <w:t>Jacques ROYER</w:t>
      </w: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545E6F" w:rsidRDefault="00545E6F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426574" w:rsidRPr="00426574" w:rsidRDefault="00426574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426574">
        <w:rPr>
          <w:rFonts w:ascii="Verdana" w:hAnsi="Verdana" w:cs="Arial"/>
          <w:b/>
          <w:bCs/>
        </w:rPr>
        <w:t xml:space="preserve">Pièces jointes </w:t>
      </w:r>
      <w:r w:rsidRPr="00426574">
        <w:rPr>
          <w:rFonts w:ascii="Verdana" w:hAnsi="Verdana" w:cs="Arial"/>
        </w:rPr>
        <w:t>:</w:t>
      </w:r>
    </w:p>
    <w:p w:rsidR="00426574" w:rsidRPr="00545E6F" w:rsidRDefault="00426574" w:rsidP="0042657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545E6F">
        <w:rPr>
          <w:rFonts w:ascii="Verdana" w:hAnsi="Verdana" w:cs="Helvetica"/>
        </w:rPr>
        <w:t xml:space="preserve">Extrait cadastral avec l’emprise de la voie privée concernée par </w:t>
      </w:r>
      <w:r w:rsidRPr="00545E6F">
        <w:rPr>
          <w:rFonts w:ascii="Verdana" w:hAnsi="Verdana" w:cs="Arial"/>
        </w:rPr>
        <w:t>ladite convention</w:t>
      </w:r>
    </w:p>
    <w:p w:rsidR="004D18BA" w:rsidRPr="00545E6F" w:rsidRDefault="00426574" w:rsidP="00426574">
      <w:pPr>
        <w:rPr>
          <w:rFonts w:ascii="Verdana" w:hAnsi="Verdana"/>
          <w:sz w:val="24"/>
          <w:szCs w:val="24"/>
        </w:rPr>
      </w:pPr>
      <w:r w:rsidRPr="00545E6F">
        <w:rPr>
          <w:rFonts w:ascii="Verdana" w:hAnsi="Verdana" w:cs="Arial"/>
        </w:rPr>
        <w:t>Plan de situation de la voie</w:t>
      </w:r>
    </w:p>
    <w:sectPr w:rsidR="004D18BA" w:rsidRPr="0054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,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74"/>
    <w:rsid w:val="00426574"/>
    <w:rsid w:val="004D18BA"/>
    <w:rsid w:val="00545E6F"/>
    <w:rsid w:val="007C486C"/>
    <w:rsid w:val="00A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A473"/>
  <w15:chartTrackingRefBased/>
  <w15:docId w15:val="{E378CE78-D008-499C-A227-988780D0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Adiouma Sow</dc:creator>
  <cp:keywords/>
  <dc:description/>
  <cp:lastModifiedBy>Adiouma Sow</cp:lastModifiedBy>
  <cp:revision>1</cp:revision>
  <dcterms:created xsi:type="dcterms:W3CDTF">2020-01-07T15:13:00Z</dcterms:created>
  <dcterms:modified xsi:type="dcterms:W3CDTF">2020-01-07T15:44:00Z</dcterms:modified>
</cp:coreProperties>
</file>